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Деятельностный подход к образованию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Задача системы образования состоит не в передаче объема знаний, а в том, чтобы научить учиться. При этом становление учебной деятельности означает становление духовного развития личности.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Понятие системно-деятельностного подхода было введено в 1985 г. как особого рода понятие. Уже тогда учёные старались снять противоречия внутри отечественной психологической науки между системным подходом, который разрабатывался в исследованиях классиков нашей отечественной науки (таких, как Б.Г.Ананьев, Б.Ф.Ломов и целый ряд исследователей), и деятельностным, который всегда был системным (его разрабатывали Л.С.Выготский, Л.В.Занков, А.Р.Лурия, Д.Б.Эльконин, В.В.Давыдов и многие другие исследователи). Системно-деятельностный подход является попыткой объединения этих подходов.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 значит "деятельность"? Сказать "деятельность" — это указать на следующие моменты. Деятельность это всегда целеустремленная система, нацеленная на результат.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Понятие  системно-деятельностного подхода указывает на то, что результат может быть достигнут только в том случае, если есть обратная связь.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Задача школы — не дать объем знаний, а научить учиться. Это складывается в  систему универсальных учебных действий. Что имеют ввиду, когда говорим "учебная деятельность"?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Учебная деятельность не есть чистое познание. Учебная деятельность — это орган развития, саморазвития, самовоспитания личности. Познание встраивается в этот процесс.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Чему должен научиться ребенок?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все помним старую притчу о том, как пришел мудрец к бедным и сказал: "Я вижу, вы голодны. Давайте, я дам вам рыбу, чтобы вы утолили голод". Притча гласит: не надо давать рыбу, надо научить ловить ее. Стандарт нового поколения и есть стандарт, который помогает научить учиться, научить "ловить рыбу", а тем самым, овладеть универсальными учебными действиями, без которых ничего не может быть. Именно в действии порождается знание.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Системно-деятельностный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 Хотелось бы рассказать, как реализуется мною системно-деятельностный подход в 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 XXI 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Сегодня школа, резко меняя то, что должно меняться постепенно, практически не изменяет те характеристики образовательной среды, которые должны  отвечать новым возрастным потребностям и возможностям детей, находящихся на границе двух эпох развития. Урок остается основной, а чаще единственной формой организации учебного процесса обучающихся на протяжении 10-11 лет обучения в школе. Движение детей в учебном материале происходит в одном темпе и по одной траектории. Понятия усваиваются преимущественно репродуктивно и одной единственно правильной точки зрения. Учительские контрольно-оценочные действия ориентированы в основном на   результативную сторону обучения.  Понимание и применение понятий ограничено сложившимися рамками школьных дисциплин: проценты изучают на уроках математики, а на уроках химии не могут их применить, орфографические правила используют в диктанте, но не в ответах на письменном зачете по географии. Короче говоря, разложенные по полочкам знания не становятся основой компетентности школьников, они не применяются за пределами тех ситуаций, в которых были усвоены.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Качество образования на современном этапе понимается как уровень специфических, надпредметных умений, связанных с самоопределением и самореализацией личности,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когда знания приобретаются не "впрок", а в контексте модели будущей деятельности, жизненной ситуации, как "научение жить здесь и сейчас".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Предмет нашей гордости в прошлом – большой объём фактических знаний – в изменившемся мире потерял свою ценность, поскольку любая информация быстро устаревает.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Необходимым становятся не сами знания, а знания о том, как и где их применять. Но ещё важнее знание о том, как информацию добывать, интерпретировать, или создавать новую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то, и другое, и третье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результаты деятельности, а деятельность – это решение задач.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При данном подходе к обучению основным элементом работы учащихся будет решение задач, т.е., освоение деятельности, особенно новых видов деятельности: учебно – исследовательской, поисково-конструкторской, творческой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 пассивного потребителя знаний учащийся становится активным субъектом образовательной деятельности.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Категория деятельности при таком подходе к обучению является фундаментальной и смыслообразующей всего процесса обучения.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Концепцию “учения через деятельность” предложил американский ученый Д.Дьюи. Основные принципы его системы: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учет интересов учащихся;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учение через обучение мысли и действию;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познание и знание - следствие преодоления трудностей;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свободная творческая работа и сотрудничество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Деятельностный подход к обучению предполагает: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Прежде чем вводить новое знание, надо создать ситуацию… необходимости его появления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Г.А. Цукерман)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выполнение учениками определённых действий для приобретения недостающих знаний;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Г.А. Цукерман: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Не вводить знания в готовом виде. Даже если нет никакой возможности повести детей к открытию нового, всегда есть возможность создать ситуацию поиска…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выявление и освоение учащимися способа действия, позволяющего осознанно применять приобретённые знания;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Н. Ф. Талызина,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главная особенность процесса усвоения состоит в его активности: знания можно передать только тогда, когда ученик их берёт, то есть выполняет… какие-то действия с ними. Другими словами, процесс усвоения знаний – это всегда выполнение учащимися определённых познавательных действий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Становление системы осознанных действий должно проходить в нужной последовательности, поэтапно, с учётом постепенного роста самостоятельности учащихся.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этом психологами давно доказано, что наиболее эффективный путь формирования требуемых     компетенций, достигается в том случае, если обучение идёт по пути не накопления суммы отдельных умений, а в направлении от общего к частному.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деятельностном подходе к обучению основные усилия учителя должны направляться на помощь детям не в запоминании отдельных сведений, правил, а в освоении общего для многих случаев способа действия.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формирование у школьников умения контролировать свои действия –  как после их завершения, так и по ходу;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включение содержания обучения в контекст решения значимых жизненных задач.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Учебный процесс в деятельностной модели обучения представляет собой: 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взаимодействие,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решение коммуникативных (проблемных) задач.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Взаимодействие при этом есть способ бытия - общение и способ действования - решение задач. “Среда учения - деятельность, разнообразная по содержанию, мотивированная для ученика, проблемная по способу освоения деятельности, необходимое условие для этого - отношения в образовательной среде, которые строятся на основе доверия, сотрудничества, равнопартнёрства, общения”.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 взаимодействии “учитель - ученик”, “ученик - ученик” главная роль отводится принятию другого человека, группы, себя, другого мнения, отношения, фактов бытия.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Понимание и принятие нацеливает на деятельность, а не на выяснение отношений, фокусирует внимание обучающегося на проблеме, на решении коммуникативных задач.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Коммуникативная задача - проблема, требующая разрешения противоречия: ты знаешь - я не знаю, ты умеешь - я не умею, а мне надо знать и уметь (у меня есть потребность). Решение коммуникативной задачи требует сначала сформировать потребность (например, в виде вопросов), потом - как эту потребность реализовать.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Субъект может реализовать ее сам, может обратиться к другому. И в этом и в другом случае он вступает в общение: с самим собой или с другим. Ответы на вопросы решают задачу или выводят на новую задачу.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деятельностной педагогики характерны особые принципы обучения: принцип предметности противопоставлен принципу наглядности, принцип деятельности – принципу сознательности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Учебная деятельность как универсальный способ учения определяет особую деятельностную образовательную технологию: переход от ситуации успеха к ситуации разрыва через рефлексивную оценку, моделирование и конструирование, продвижение от диагностической работы на входе, проверочная работа как переход от одной учебной задачи к другой, перенос способов действий и средств реальные ситуации.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Так что же такое универсальные учебные действия?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широком значении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термин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универсальные учебные действия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означает умение учиться,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более узком (собственно психологическом значении) этот термин можно определить как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совокупность способов действия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учащегося (а также связанных с ними навыков учебной работы),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обеспечивающих его способность к самостоятельному усвоению новых знаний и умений, включая организацию этого процесса.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Функции универсальных учебных действий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создание условий для гармоничного развития личности и ее самореализации на основе готовности к непрерывному образованию;   обеспечение успешного усвоения знаний, умений и навыков и формирование компетентностей в любой предметной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 основным видам универсальных учебных действий можно отнести: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личностные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регулятивные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включающий также действия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саморегуляции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 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коммуникативные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Личностные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универсальные учебные действия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Регулятивные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действия обеспечивают организацию учащимися своей учебной деятельности.   К ним относятся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целеполагание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постановка учебной задачи на основе соотнесения того, что уже известно и усвоено учащимся, и того, что еще неизвестно;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ланирование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определение последовательности  промежуточных целей с учетом конечного результата; составление плана и последовательности действий;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прогнозирование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– предвосхищение результата и уровня усвоения, его временных характеристик;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коррекция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волевая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саморегуляция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Познавательные универсальные учебные действия делятся на общеучебные, логические, действия постановки и решения проблем.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Общеучебные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самостоятельное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выделение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формулирование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познавательной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  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поиск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выделение необходимой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 применение методов информационного поиска, в том числе с помощью компьютерных средств: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знаково-символические  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преобразование модели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 целью выявления общих законов, определяющих данную предметную область;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умение структурировать 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умение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осознанно и произвольно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строить речевое высказывание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устной и письменной форме; 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выбор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наиболее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эффективных способов решения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зависимости от конкретных условий; 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рефлексия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способов  и условий действия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, контроль и 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процесса и результатов деятельности; 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смысловое чтение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постановка и формулирование проблемы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самостоятельное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создание алгоритмов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деятельности при решении проблем творческого и поискового характера.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Логические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объектов  с целью выделения признаков (существенных, несущественных)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выбор оснований и критериев  для сравнения, сериации, классификации объектов;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подведение под понятия, выведение следствий;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установление причинно-следственных связей, 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построение логической цепи рассуждений,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доказательство; 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выдвижение гипотез и их обоснование.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Действия постановки и решения проблем.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формулирование проблемы;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самостоятельное создание способов решения проблем творческого и поискового характера.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Виды коммуникативных действий: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планирование учебного сотрудничества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учителем и сверстниками – определение цели, функций участников, способов взаимодействия; 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постановка вопросов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инициативное сотрудничество в поиске и сборе информации; 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разрешение конфликтов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управление поведением партнера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контроль, коррекция, оценка действий партнера;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умение с достаточно полнотой и точностью выражать свои мысли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соответствии с задачами и  условиями коммуникации; 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владение монологической и диалогической формами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речи в соответствии с грамматическими и синтаксическими нормами родного языка.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Основной принцип  построения деятельнстной технологии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цикличность разворачивания  образовательного процесса.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Пятилетний (1, 2-4 и 5 классы)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Годовой (три фазы учебного  года)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Тематический (учебная задача) – ПУЗ, РУЗ, РЧЗ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Образовательные пространства деятельностной технологии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Урок (коллективное действие) – место решения системы учебных задач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Учебное занятие  - место групповой работы по поиску причин ошибок  и способов их устранения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Урок - мастерская – место индивидуальной коррекции действий учащихся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Урок - консультация – место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умных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вопросов  (определения границы знания и незнания ребенка по его запросу)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Урок – презентация – место предъявления достижений учащихся (результатов их самостоятельной  домашней работы)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Источники: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Литература.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Н.Ф. Виноградова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 XXI века. Концептуальные основы построения учебно-методического комплекта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Программы четырёхлетней начальной школы: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 XXI 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Руководитель проекта проф. Н.Ф. Виноградова, 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Беседы с учителем: Методика обучения: 1 класс общеобразовательных учреждений/ Под редакцией Л.Е. Журовой, 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Беседы с учителем: Методика обучения: 1 класс четырёхлетней начальной школы/ Под редакцией Л.Е. Журовой, 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Беседы с учителем: 3 класс: книга для учителя/ Под редакцией Л.Е. Журовой, 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Учебники и пособия по 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 XXI 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Москва, 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2007-2009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приложение к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Интернет-ресурсы: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www. vgf.ru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www.festival.1septembr.ru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www.shkola.edu.ru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www.pedsovet.org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http://nsportal.ru/nachalnaya-shkola/obshchepedagogicheskie-tekhnologii/sistemno-deyatelnostnyi-podkhod-v-obrazovanii</w:t>
        </w:r>
      </w:hyperlink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9">
    <w:abstractNumId w:val="96"/>
  </w:num>
  <w:num w:numId="11">
    <w:abstractNumId w:val="90"/>
  </w:num>
  <w:num w:numId="14">
    <w:abstractNumId w:val="84"/>
  </w:num>
  <w:num w:numId="16">
    <w:abstractNumId w:val="78"/>
  </w:num>
  <w:num w:numId="28">
    <w:abstractNumId w:val="72"/>
  </w:num>
  <w:num w:numId="30">
    <w:abstractNumId w:val="66"/>
  </w:num>
  <w:num w:numId="32">
    <w:abstractNumId w:val="60"/>
  </w:num>
  <w:num w:numId="34">
    <w:abstractNumId w:val="54"/>
  </w:num>
  <w:num w:numId="36">
    <w:abstractNumId w:val="48"/>
  </w:num>
  <w:num w:numId="38">
    <w:abstractNumId w:val="42"/>
  </w:num>
  <w:num w:numId="40">
    <w:abstractNumId w:val="36"/>
  </w:num>
  <w:num w:numId="42">
    <w:abstractNumId w:val="30"/>
  </w:num>
  <w:num w:numId="44">
    <w:abstractNumId w:val="24"/>
  </w:num>
  <w:num w:numId="47">
    <w:abstractNumId w:val="18"/>
  </w:num>
  <w:num w:numId="49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hkola.edu.ru/" Id="docRId1" Type="http://schemas.openxmlformats.org/officeDocument/2006/relationships/hyperlink"/><Relationship TargetMode="External" Target="http://nsportal.ru/nachalnaya-shkola/obshchepedagogicheskie-tekhnologii/sistemno-deyatelnostnyi-podkhod-v-obrazovanii" Id="docRId3" Type="http://schemas.openxmlformats.org/officeDocument/2006/relationships/hyperlink"/><Relationship Target="styles.xml" Id="docRId5" Type="http://schemas.openxmlformats.org/officeDocument/2006/relationships/styles"/><Relationship TargetMode="External" Target="http://www.festival.1septembr.ru/" Id="docRId0" Type="http://schemas.openxmlformats.org/officeDocument/2006/relationships/hyperlink"/><Relationship TargetMode="External" Target="http://www.pedsovet.org/" Id="docRId2" Type="http://schemas.openxmlformats.org/officeDocument/2006/relationships/hyperlink"/><Relationship Target="numbering.xml" Id="docRId4" Type="http://schemas.openxmlformats.org/officeDocument/2006/relationships/numbering"/></Relationships>
</file>